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E13" w:rsidRPr="00A177AF" w:rsidRDefault="006473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AF">
        <w:rPr>
          <w:rFonts w:ascii="Times New Roman" w:eastAsia="Times New Roman" w:hAnsi="Times New Roman" w:cs="Times New Roman"/>
          <w:sz w:val="24"/>
          <w:szCs w:val="24"/>
        </w:rPr>
        <w:t>IPARD PROGRAMI YATIRIMLARININ BASILI, GÖRSEL VE İŞİTSEL ORTAMLARDA TKDK TARAFINDAN KULLANILMASINA İLİŞKİN</w:t>
      </w:r>
    </w:p>
    <w:p w:rsidR="00D675FB" w:rsidRPr="00A177AF" w:rsidRDefault="00372469" w:rsidP="00D675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7AF">
        <w:rPr>
          <w:rFonts w:ascii="Times New Roman" w:eastAsia="Times New Roman" w:hAnsi="Times New Roman" w:cs="Times New Roman"/>
          <w:sz w:val="24"/>
          <w:szCs w:val="24"/>
        </w:rPr>
        <w:t>RIZA BEYANI</w:t>
      </w:r>
    </w:p>
    <w:p w:rsidR="00E65FF9" w:rsidRPr="00A177AF" w:rsidRDefault="003762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7AF">
        <w:rPr>
          <w:rFonts w:ascii="Times New Roman" w:hAnsi="Times New Roman" w:cs="Times New Roman"/>
          <w:sz w:val="24"/>
          <w:szCs w:val="24"/>
        </w:rPr>
        <w:t xml:space="preserve">Katılım Öncesi Yardım Aracı Kırsal Kalkınma Programı kapsamında desteklenen yatırımımla ilgili olarak; </w:t>
      </w:r>
    </w:p>
    <w:p w:rsidR="00BE667E" w:rsidRPr="00A177AF" w:rsidRDefault="00E65FF9" w:rsidP="00E65FF9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Gerçekleştirilecek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yurtiçi ve yurtdışı tanıtım etkinlikleri çerçevesinde</w:t>
      </w:r>
      <w:r w:rsidR="00F1260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gazete, dergi, 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web</w:t>
      </w:r>
      <w:r w:rsidR="009A4820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sayfası, internet ve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sosyal medya hesaplarında</w:t>
      </w:r>
      <w:r w:rsidR="009A4820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/sitelerinde, televizyon yayınlarında, </w:t>
      </w:r>
      <w:r w:rsidR="00F1260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eğitim ve fuar, lansman, organizasyon gibi </w:t>
      </w:r>
      <w:r w:rsidR="009A4820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etkinlikler</w:t>
      </w:r>
      <w:r w:rsidR="00992777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de</w:t>
      </w:r>
      <w:r w:rsidR="009A4820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B27FB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her türlü tanıtım malzemesi olarak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veya </w:t>
      </w:r>
      <w:r w:rsidR="003762E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Tarım ve Kırsal Kalkınmayı Destekleme Kurumu</w:t>
      </w:r>
      <w:r w:rsidR="00DF49F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(TKDK)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işbirliğiyle yürütülen 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çalışmalarda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kullanılması amacıyla</w:t>
      </w:r>
      <w:r w:rsidR="00AB2762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4BCC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5846 sayılı Fikir ve Sanat</w:t>
      </w:r>
      <w:r w:rsidR="00D11137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Eserleri Kanunu</w:t>
      </w:r>
      <w:r w:rsidR="00BE667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’n</w:t>
      </w:r>
      <w:r w:rsidR="00F1260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da</w:t>
      </w:r>
      <w:r w:rsidR="00D844A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61EE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tanımlanan işaret, ses ve/veya görüntü nakline yarayan araçlarla umuma iletim </w:t>
      </w:r>
      <w:r w:rsidR="00BE409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mali haklarım </w:t>
      </w:r>
      <w:r w:rsidR="00017835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ile</w:t>
      </w:r>
      <w:r w:rsidR="0093307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629C7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bağlantılı</w:t>
      </w:r>
      <w:r w:rsidR="008C0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307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  <w:r w:rsidR="005629C7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komşu</w:t>
      </w:r>
      <w:r w:rsidR="008C0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3307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0D5219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icra hakları</w:t>
      </w:r>
      <w:r w:rsidR="0093307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mı</w:t>
      </w:r>
      <w:r w:rsidR="000D5219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9F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TKDK’ye</w:t>
      </w:r>
      <w:r w:rsidR="00F1260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devrettiğimi</w:t>
      </w:r>
      <w:r w:rsidR="00FF0ED9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</w:t>
      </w:r>
      <w:r w:rsidR="00D5545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yatırım sahibi olarak kişisel verilerimin ve yatırım bilgilerimin kullanılması</w:t>
      </w:r>
      <w:r w:rsidR="008C0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545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="008C0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545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işlenmesi ve üçüncü kişilere aktarılmasına ilişkin 6698 sayılı Kişisel Verileri</w:t>
      </w:r>
      <w:r w:rsidR="00A12ED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D5545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Koru</w:t>
      </w:r>
      <w:r w:rsidR="00A12ED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nması </w:t>
      </w:r>
      <w:r w:rsidR="00D5545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Kanunu’nda tanımlı açık rıza onayımı verdiğimi;</w:t>
      </w:r>
    </w:p>
    <w:p w:rsidR="00B94E13" w:rsidRPr="00A177AF" w:rsidRDefault="0010750E" w:rsidP="00BC77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 </w:t>
      </w:r>
      <w:r w:rsidR="00FF355A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rıza beyanı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çerçevesinde</w:t>
      </w:r>
      <w:r w:rsidR="00D34BCC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9F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TKDK</w:t>
      </w:r>
      <w:r w:rsidR="0064732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="003762E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DD2" w:rsidRPr="00A177AF">
        <w:rPr>
          <w:rFonts w:ascii="Times New Roman" w:eastAsia="Times New Roman" w:hAnsi="Times New Roman" w:cs="Times New Roman"/>
          <w:sz w:val="24"/>
          <w:szCs w:val="24"/>
        </w:rPr>
        <w:t>sayı, yer ve sü</w:t>
      </w:r>
      <w:r w:rsidR="0093307E" w:rsidRPr="00A177AF">
        <w:rPr>
          <w:rFonts w:ascii="Times New Roman" w:eastAsia="Times New Roman" w:hAnsi="Times New Roman" w:cs="Times New Roman"/>
          <w:sz w:val="24"/>
          <w:szCs w:val="24"/>
        </w:rPr>
        <w:t>reyle sınırlandırılmaksızın,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Türkiye içinde veya dışında, her türlü ortam ve her türlü materyal içeriğinde kullanabileceğini ve Bakanlığın </w:t>
      </w:r>
      <w:r w:rsidR="005629C7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dâhil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olduğu projelerde ticari olmayan amaçlarla üçünc</w:t>
      </w:r>
      <w:r w:rsidR="00B86E48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ü kişilere kullandırabileceğini;</w:t>
      </w:r>
      <w:r w:rsidR="00485DD2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 hususta</w:t>
      </w:r>
      <w:r w:rsidR="0029701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9FD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TKDK’nın</w:t>
      </w:r>
      <w:r w:rsidR="0064732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9701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hiçbir biçimde ve nedenle tekrar onayımı almak zorunda olmayacağını</w:t>
      </w:r>
      <w:r w:rsidR="00485DD2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B94E13" w:rsidRPr="00A177AF" w:rsidRDefault="00DF49FD" w:rsidP="0064732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h.gjdgxs" w:colFirst="0" w:colLast="0"/>
      <w:bookmarkEnd w:id="0"/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TKDK </w:t>
      </w:r>
      <w:r w:rsidR="0064732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il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TKDK’nın müsaadesiyle </w:t>
      </w:r>
      <w:r w:rsidR="0064732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gerekli görülen 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kurum</w:t>
      </w:r>
      <w:r w:rsidR="0064732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kuruluşlar tarafından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kullanılmasına ilişkin olarak herhangi bir ücret </w:t>
      </w:r>
      <w:r w:rsidR="009E3B4F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ödenmeyeceğini ve daha sonra bu hususta herhangi bir hak ve alacak 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talebinde bulunmayacağımı,</w:t>
      </w:r>
      <w:bookmarkStart w:id="1" w:name="_GoBack"/>
      <w:bookmarkEnd w:id="1"/>
    </w:p>
    <w:p w:rsidR="00B94E13" w:rsidRPr="00A177AF" w:rsidRDefault="000E59B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Beyan,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kabul</w:t>
      </w:r>
      <w:r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="00933383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>taahhüt</w:t>
      </w:r>
      <w:r w:rsidR="0010750E" w:rsidRPr="00A1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ederim.</w:t>
      </w:r>
    </w:p>
    <w:p w:rsidR="0064732F" w:rsidRPr="00F1260D" w:rsidRDefault="0064732F" w:rsidP="003561A6">
      <w:pPr>
        <w:pStyle w:val="GvdeMetni2"/>
        <w:spacing w:after="0" w:line="360" w:lineRule="auto"/>
        <w:rPr>
          <w:rFonts w:ascii="Garamond" w:hAnsi="Garamond"/>
          <w:b/>
          <w:szCs w:val="24"/>
          <w:lang w:val="tr-TR"/>
        </w:rPr>
      </w:pPr>
    </w:p>
    <w:p w:rsidR="0064732F" w:rsidRPr="00F1260D" w:rsidRDefault="0064732F" w:rsidP="003561A6">
      <w:pPr>
        <w:pStyle w:val="GvdeMetni2"/>
        <w:spacing w:after="0" w:line="360" w:lineRule="auto"/>
        <w:rPr>
          <w:rFonts w:ascii="Garamond" w:hAnsi="Garamond"/>
          <w:b/>
          <w:szCs w:val="24"/>
          <w:lang w:val="tr-TR"/>
        </w:rPr>
      </w:pPr>
    </w:p>
    <w:p w:rsidR="003561A6" w:rsidRPr="00A177AF" w:rsidRDefault="003561A6" w:rsidP="003561A6">
      <w:pPr>
        <w:pStyle w:val="GvdeMetni2"/>
        <w:spacing w:after="0" w:line="360" w:lineRule="auto"/>
        <w:rPr>
          <w:b/>
          <w:szCs w:val="24"/>
          <w:lang w:val="tr-TR"/>
        </w:rPr>
      </w:pPr>
      <w:r w:rsidRPr="00A177AF">
        <w:rPr>
          <w:b/>
          <w:szCs w:val="24"/>
          <w:lang w:val="tr-TR"/>
        </w:rPr>
        <w:t>Faydalanıcı (Tüzel Kişi Olması Durumunda Tüzel Kişiliği Temsil ve İlzama Yetkili Kişi/Kişiler)</w:t>
      </w:r>
    </w:p>
    <w:p w:rsidR="0064732F" w:rsidRPr="00A177AF" w:rsidRDefault="0064732F" w:rsidP="003561A6">
      <w:pPr>
        <w:pStyle w:val="GvdeMetni2"/>
        <w:spacing w:after="0" w:line="360" w:lineRule="auto"/>
        <w:rPr>
          <w:b/>
          <w:bCs/>
          <w:szCs w:val="24"/>
          <w:lang w:val="tr-TR"/>
        </w:rPr>
      </w:pPr>
      <w:bookmarkStart w:id="2" w:name="Yetkililer"/>
      <w:bookmarkEnd w:id="2"/>
    </w:p>
    <w:p w:rsidR="0064732F" w:rsidRPr="00A177AF" w:rsidRDefault="0064732F" w:rsidP="003561A6">
      <w:pPr>
        <w:pStyle w:val="GvdeMetni2"/>
        <w:spacing w:after="0" w:line="360" w:lineRule="auto"/>
        <w:rPr>
          <w:b/>
          <w:bCs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64732F" w:rsidRPr="00A177AF" w:rsidTr="0064732F">
        <w:tc>
          <w:tcPr>
            <w:tcW w:w="1555" w:type="dxa"/>
          </w:tcPr>
          <w:p w:rsidR="0064732F" w:rsidRPr="00A177AF" w:rsidRDefault="0064732F" w:rsidP="003561A6">
            <w:pPr>
              <w:pStyle w:val="GvdeMetni2"/>
              <w:spacing w:after="0" w:line="360" w:lineRule="auto"/>
              <w:rPr>
                <w:b/>
                <w:bCs/>
                <w:szCs w:val="24"/>
                <w:lang w:val="tr-TR"/>
              </w:rPr>
            </w:pPr>
            <w:r w:rsidRPr="00A177AF">
              <w:rPr>
                <w:b/>
                <w:bCs/>
                <w:szCs w:val="24"/>
                <w:lang w:val="tr-TR"/>
              </w:rPr>
              <w:t>Adı Soyadı</w:t>
            </w:r>
          </w:p>
        </w:tc>
        <w:tc>
          <w:tcPr>
            <w:tcW w:w="7507" w:type="dxa"/>
          </w:tcPr>
          <w:p w:rsidR="0064732F" w:rsidRPr="00A177AF" w:rsidRDefault="0064732F" w:rsidP="003561A6">
            <w:pPr>
              <w:pStyle w:val="GvdeMetni2"/>
              <w:spacing w:after="0" w:line="360" w:lineRule="auto"/>
              <w:rPr>
                <w:b/>
                <w:bCs/>
                <w:szCs w:val="24"/>
                <w:lang w:val="tr-TR"/>
              </w:rPr>
            </w:pPr>
            <w:r w:rsidRPr="00A177AF">
              <w:rPr>
                <w:b/>
                <w:bCs/>
                <w:szCs w:val="24"/>
                <w:lang w:val="tr-TR"/>
              </w:rPr>
              <w:t xml:space="preserve">: </w:t>
            </w:r>
          </w:p>
        </w:tc>
      </w:tr>
      <w:tr w:rsidR="0064732F" w:rsidRPr="00A177AF" w:rsidTr="0064732F">
        <w:tc>
          <w:tcPr>
            <w:tcW w:w="1555" w:type="dxa"/>
          </w:tcPr>
          <w:p w:rsidR="0064732F" w:rsidRPr="00A177AF" w:rsidRDefault="0064732F" w:rsidP="0064732F">
            <w:pPr>
              <w:pStyle w:val="GvdeMetni2"/>
              <w:spacing w:after="0" w:line="360" w:lineRule="auto"/>
              <w:rPr>
                <w:b/>
                <w:bCs/>
                <w:szCs w:val="24"/>
                <w:lang w:val="tr-TR"/>
              </w:rPr>
            </w:pPr>
            <w:r w:rsidRPr="00A177AF">
              <w:rPr>
                <w:b/>
                <w:bCs/>
                <w:szCs w:val="24"/>
                <w:lang w:val="tr-TR"/>
              </w:rPr>
              <w:t>Tarih</w:t>
            </w:r>
          </w:p>
        </w:tc>
        <w:tc>
          <w:tcPr>
            <w:tcW w:w="7507" w:type="dxa"/>
          </w:tcPr>
          <w:p w:rsidR="0064732F" w:rsidRPr="00A177AF" w:rsidRDefault="0064732F" w:rsidP="0064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4732F" w:rsidRPr="00A177AF" w:rsidTr="0064732F">
        <w:tc>
          <w:tcPr>
            <w:tcW w:w="1555" w:type="dxa"/>
          </w:tcPr>
          <w:p w:rsidR="0064732F" w:rsidRPr="00A177AF" w:rsidRDefault="0064732F" w:rsidP="0064732F">
            <w:pPr>
              <w:pStyle w:val="GvdeMetni2"/>
              <w:spacing w:after="0" w:line="360" w:lineRule="auto"/>
              <w:rPr>
                <w:b/>
                <w:bCs/>
                <w:szCs w:val="24"/>
                <w:lang w:val="tr-TR"/>
              </w:rPr>
            </w:pPr>
            <w:r w:rsidRPr="00A177AF">
              <w:rPr>
                <w:b/>
                <w:bCs/>
                <w:szCs w:val="24"/>
                <w:lang w:val="tr-TR"/>
              </w:rPr>
              <w:t>İmza</w:t>
            </w:r>
          </w:p>
        </w:tc>
        <w:tc>
          <w:tcPr>
            <w:tcW w:w="7507" w:type="dxa"/>
          </w:tcPr>
          <w:p w:rsidR="0064732F" w:rsidRPr="00A177AF" w:rsidRDefault="0064732F" w:rsidP="0064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4732F" w:rsidRPr="00A177AF" w:rsidTr="0064732F">
        <w:tc>
          <w:tcPr>
            <w:tcW w:w="1555" w:type="dxa"/>
          </w:tcPr>
          <w:p w:rsidR="0064732F" w:rsidRPr="00A177AF" w:rsidRDefault="0064732F" w:rsidP="0064732F">
            <w:pPr>
              <w:tabs>
                <w:tab w:val="left" w:pos="162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AF">
              <w:rPr>
                <w:rFonts w:ascii="Times New Roman" w:hAnsi="Times New Roman" w:cs="Times New Roman"/>
                <w:b/>
                <w:sz w:val="24"/>
                <w:szCs w:val="24"/>
              </w:rPr>
              <w:t>Kaşe</w:t>
            </w:r>
          </w:p>
        </w:tc>
        <w:tc>
          <w:tcPr>
            <w:tcW w:w="7507" w:type="dxa"/>
          </w:tcPr>
          <w:p w:rsidR="0064732F" w:rsidRPr="00A177AF" w:rsidRDefault="0064732F" w:rsidP="0064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64732F" w:rsidRPr="00F1260D" w:rsidRDefault="0064732F" w:rsidP="003561A6">
      <w:pPr>
        <w:pStyle w:val="GvdeMetni2"/>
        <w:spacing w:after="0" w:line="360" w:lineRule="auto"/>
        <w:rPr>
          <w:rFonts w:ascii="Garamond" w:hAnsi="Garamond"/>
          <w:b/>
          <w:bCs/>
          <w:szCs w:val="24"/>
          <w:lang w:val="tr-TR"/>
        </w:rPr>
      </w:pPr>
    </w:p>
    <w:p w:rsidR="0064732F" w:rsidRPr="00F1260D" w:rsidRDefault="0064732F" w:rsidP="003561A6">
      <w:pPr>
        <w:pStyle w:val="GvdeMetni2"/>
        <w:spacing w:after="0" w:line="360" w:lineRule="auto"/>
        <w:rPr>
          <w:rFonts w:ascii="Garamond" w:hAnsi="Garamond"/>
          <w:b/>
          <w:bCs/>
          <w:szCs w:val="24"/>
          <w:lang w:val="tr-TR"/>
        </w:rPr>
      </w:pPr>
    </w:p>
    <w:p w:rsidR="007721C4" w:rsidRPr="00F1260D" w:rsidRDefault="0010750E" w:rsidP="004B2CFC">
      <w:pPr>
        <w:tabs>
          <w:tab w:val="left" w:pos="6811"/>
        </w:tabs>
        <w:spacing w:after="0" w:line="360" w:lineRule="auto"/>
        <w:jc w:val="both"/>
      </w:pPr>
      <w:r w:rsidRPr="00F1260D">
        <w:rPr>
          <w:rFonts w:ascii="Times New Roman" w:eastAsia="Times New Roman" w:hAnsi="Times New Roman" w:cs="Times New Roman"/>
        </w:rPr>
        <w:tab/>
        <w:t xml:space="preserve">              </w:t>
      </w:r>
    </w:p>
    <w:sectPr w:rsidR="007721C4" w:rsidRPr="00F126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FD" w:rsidRDefault="003F79FD">
      <w:pPr>
        <w:spacing w:after="0" w:line="240" w:lineRule="auto"/>
      </w:pPr>
      <w:r>
        <w:separator/>
      </w:r>
    </w:p>
  </w:endnote>
  <w:endnote w:type="continuationSeparator" w:id="0">
    <w:p w:rsidR="003F79FD" w:rsidRDefault="003F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FD" w:rsidRDefault="003F79FD">
      <w:pPr>
        <w:spacing w:after="0" w:line="240" w:lineRule="auto"/>
      </w:pPr>
      <w:r>
        <w:separator/>
      </w:r>
    </w:p>
  </w:footnote>
  <w:footnote w:type="continuationSeparator" w:id="0">
    <w:p w:rsidR="003F79FD" w:rsidRDefault="003F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4989"/>
    <w:multiLevelType w:val="hybridMultilevel"/>
    <w:tmpl w:val="6F6C0ECE"/>
    <w:lvl w:ilvl="0" w:tplc="6FD0FCD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F401E"/>
    <w:multiLevelType w:val="hybridMultilevel"/>
    <w:tmpl w:val="96560C64"/>
    <w:lvl w:ilvl="0" w:tplc="6070F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13"/>
    <w:rsid w:val="00010C84"/>
    <w:rsid w:val="00017835"/>
    <w:rsid w:val="00017927"/>
    <w:rsid w:val="00025F94"/>
    <w:rsid w:val="00036025"/>
    <w:rsid w:val="00036505"/>
    <w:rsid w:val="000515E7"/>
    <w:rsid w:val="00056FC7"/>
    <w:rsid w:val="00085E66"/>
    <w:rsid w:val="000A1873"/>
    <w:rsid w:val="000D2BE0"/>
    <w:rsid w:val="000D5219"/>
    <w:rsid w:val="000E59BE"/>
    <w:rsid w:val="0010750E"/>
    <w:rsid w:val="001140A7"/>
    <w:rsid w:val="0015424B"/>
    <w:rsid w:val="00161EE3"/>
    <w:rsid w:val="001C5E34"/>
    <w:rsid w:val="001E1802"/>
    <w:rsid w:val="002061BA"/>
    <w:rsid w:val="00215CFD"/>
    <w:rsid w:val="00270459"/>
    <w:rsid w:val="00280125"/>
    <w:rsid w:val="00297013"/>
    <w:rsid w:val="002D73C3"/>
    <w:rsid w:val="00303BED"/>
    <w:rsid w:val="00324EE2"/>
    <w:rsid w:val="003561A6"/>
    <w:rsid w:val="00372469"/>
    <w:rsid w:val="003762EF"/>
    <w:rsid w:val="003867D4"/>
    <w:rsid w:val="00390C04"/>
    <w:rsid w:val="00396AAF"/>
    <w:rsid w:val="003A1175"/>
    <w:rsid w:val="003B6887"/>
    <w:rsid w:val="003E2488"/>
    <w:rsid w:val="003E3A2C"/>
    <w:rsid w:val="003E5E30"/>
    <w:rsid w:val="003F79FD"/>
    <w:rsid w:val="004216CB"/>
    <w:rsid w:val="00437DF0"/>
    <w:rsid w:val="004404CB"/>
    <w:rsid w:val="00485DD2"/>
    <w:rsid w:val="004A1989"/>
    <w:rsid w:val="004B2CFC"/>
    <w:rsid w:val="004C3EA5"/>
    <w:rsid w:val="004F45D7"/>
    <w:rsid w:val="00531EBF"/>
    <w:rsid w:val="00542F83"/>
    <w:rsid w:val="00553737"/>
    <w:rsid w:val="00556F4C"/>
    <w:rsid w:val="0056149E"/>
    <w:rsid w:val="00561DBD"/>
    <w:rsid w:val="005629C7"/>
    <w:rsid w:val="00587838"/>
    <w:rsid w:val="00597FBE"/>
    <w:rsid w:val="006104E9"/>
    <w:rsid w:val="00614E2B"/>
    <w:rsid w:val="0064732F"/>
    <w:rsid w:val="00654848"/>
    <w:rsid w:val="00657A0F"/>
    <w:rsid w:val="006B6DA2"/>
    <w:rsid w:val="006F6AB2"/>
    <w:rsid w:val="007721C4"/>
    <w:rsid w:val="00772781"/>
    <w:rsid w:val="007F192D"/>
    <w:rsid w:val="008300F8"/>
    <w:rsid w:val="00832155"/>
    <w:rsid w:val="008442EC"/>
    <w:rsid w:val="00861178"/>
    <w:rsid w:val="008619AD"/>
    <w:rsid w:val="008C05F4"/>
    <w:rsid w:val="008D48E1"/>
    <w:rsid w:val="008D7193"/>
    <w:rsid w:val="00924A0B"/>
    <w:rsid w:val="0093307E"/>
    <w:rsid w:val="00933383"/>
    <w:rsid w:val="00940F67"/>
    <w:rsid w:val="00956D21"/>
    <w:rsid w:val="0096255E"/>
    <w:rsid w:val="00992777"/>
    <w:rsid w:val="009A4820"/>
    <w:rsid w:val="009B7CB2"/>
    <w:rsid w:val="009D3719"/>
    <w:rsid w:val="009E3B4F"/>
    <w:rsid w:val="009E7B7A"/>
    <w:rsid w:val="009F5971"/>
    <w:rsid w:val="00A12EDF"/>
    <w:rsid w:val="00A1469C"/>
    <w:rsid w:val="00A17386"/>
    <w:rsid w:val="00A177AF"/>
    <w:rsid w:val="00A316FD"/>
    <w:rsid w:val="00A56FFF"/>
    <w:rsid w:val="00A869A5"/>
    <w:rsid w:val="00A903BA"/>
    <w:rsid w:val="00A90DA1"/>
    <w:rsid w:val="00A92B72"/>
    <w:rsid w:val="00AB2762"/>
    <w:rsid w:val="00B143C9"/>
    <w:rsid w:val="00B74EC8"/>
    <w:rsid w:val="00B836D8"/>
    <w:rsid w:val="00B86E48"/>
    <w:rsid w:val="00B94E13"/>
    <w:rsid w:val="00BB15EB"/>
    <w:rsid w:val="00BC376A"/>
    <w:rsid w:val="00BC7726"/>
    <w:rsid w:val="00BE409E"/>
    <w:rsid w:val="00BE667E"/>
    <w:rsid w:val="00C1491D"/>
    <w:rsid w:val="00C22451"/>
    <w:rsid w:val="00C431C2"/>
    <w:rsid w:val="00C434C9"/>
    <w:rsid w:val="00C94FE8"/>
    <w:rsid w:val="00CA5938"/>
    <w:rsid w:val="00CB42D1"/>
    <w:rsid w:val="00CB4A62"/>
    <w:rsid w:val="00CE556C"/>
    <w:rsid w:val="00D11137"/>
    <w:rsid w:val="00D34BCC"/>
    <w:rsid w:val="00D41242"/>
    <w:rsid w:val="00D55453"/>
    <w:rsid w:val="00D675FB"/>
    <w:rsid w:val="00D844A3"/>
    <w:rsid w:val="00DA5172"/>
    <w:rsid w:val="00DF49FD"/>
    <w:rsid w:val="00E36CA7"/>
    <w:rsid w:val="00E65FF9"/>
    <w:rsid w:val="00EB5136"/>
    <w:rsid w:val="00F1260D"/>
    <w:rsid w:val="00F31B78"/>
    <w:rsid w:val="00F33FA5"/>
    <w:rsid w:val="00F57D8B"/>
    <w:rsid w:val="00F85F37"/>
    <w:rsid w:val="00FB27FB"/>
    <w:rsid w:val="00FC636E"/>
    <w:rsid w:val="00FD0BE4"/>
    <w:rsid w:val="00FE255E"/>
    <w:rsid w:val="00FF0ED9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FEA5"/>
  <w15:docId w15:val="{3FFA7E10-A4BD-46E6-B276-FEF33EE8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90C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0C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90C0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7193"/>
  </w:style>
  <w:style w:type="paragraph" w:styleId="AltBilgi">
    <w:name w:val="footer"/>
    <w:basedOn w:val="Normal"/>
    <w:link w:val="AltBilgiChar"/>
    <w:uiPriority w:val="99"/>
    <w:unhideWhenUsed/>
    <w:rsid w:val="008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7193"/>
  </w:style>
  <w:style w:type="paragraph" w:styleId="BalonMetni">
    <w:name w:val="Balloon Text"/>
    <w:basedOn w:val="Normal"/>
    <w:link w:val="BalonMetniChar"/>
    <w:uiPriority w:val="99"/>
    <w:semiHidden/>
    <w:unhideWhenUsed/>
    <w:rsid w:val="00F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B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802"/>
    <w:pPr>
      <w:ind w:left="720"/>
      <w:contextualSpacing/>
    </w:pPr>
  </w:style>
  <w:style w:type="table" w:styleId="TabloKlavuzu">
    <w:name w:val="Table Grid"/>
    <w:basedOn w:val="NormalTablo"/>
    <w:uiPriority w:val="59"/>
    <w:rsid w:val="004B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3561A6"/>
    <w:pPr>
      <w:spacing w:after="120" w:line="48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GB" w:eastAsia="en-US"/>
    </w:rPr>
  </w:style>
  <w:style w:type="character" w:customStyle="1" w:styleId="GvdeMetni2Char">
    <w:name w:val="Gövde Metni 2 Char"/>
    <w:basedOn w:val="VarsaylanParagrafYazTipi"/>
    <w:link w:val="GvdeMetni2"/>
    <w:rsid w:val="003561A6"/>
    <w:rPr>
      <w:rFonts w:ascii="Times New Roman" w:eastAsia="Times New Roman" w:hAnsi="Times New Roman" w:cs="Times New Roman"/>
      <w:color w:val="auto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FB20-CCAD-432D-9C64-7DFC08CE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BİLGEN ERMİŞ</dc:creator>
  <cp:lastModifiedBy>İbrahim CEYLAN</cp:lastModifiedBy>
  <cp:revision>4</cp:revision>
  <cp:lastPrinted>2019-08-07T10:06:00Z</cp:lastPrinted>
  <dcterms:created xsi:type="dcterms:W3CDTF">2019-08-05T12:59:00Z</dcterms:created>
  <dcterms:modified xsi:type="dcterms:W3CDTF">2019-08-07T10:06:00Z</dcterms:modified>
</cp:coreProperties>
</file>